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10" w:afterAutospacing="0" w:line="560" w:lineRule="exact"/>
        <w:ind w:right="672"/>
        <w:rPr>
          <w:rFonts w:ascii="黑体" w:hAnsi="黑体" w:eastAsia="黑体"/>
          <w:b w:val="0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b w:val="0"/>
          <w:color w:val="333333"/>
          <w:spacing w:val="8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210" w:afterAutospacing="0" w:line="560" w:lineRule="exact"/>
        <w:ind w:right="672"/>
        <w:jc w:val="center"/>
        <w:rPr>
          <w:rFonts w:asciiTheme="minorEastAsia" w:hAnsiTheme="minorEastAsia" w:eastAsiaTheme="minorEastAsia"/>
          <w:b w:val="0"/>
          <w:color w:val="333333"/>
          <w:spacing w:val="8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333333"/>
          <w:spacing w:val="8"/>
          <w:sz w:val="44"/>
          <w:szCs w:val="44"/>
        </w:rPr>
        <w:t xml:space="preserve"> </w:t>
      </w:r>
      <w:r>
        <w:rPr>
          <w:rFonts w:asciiTheme="minorEastAsia" w:hAnsiTheme="minorEastAsia" w:eastAsiaTheme="minorEastAsia"/>
          <w:color w:val="333333"/>
          <w:spacing w:val="8"/>
          <w:sz w:val="44"/>
          <w:szCs w:val="44"/>
        </w:rPr>
        <w:t xml:space="preserve"> </w:t>
      </w:r>
      <w:bookmarkStart w:id="0" w:name="_GoBack"/>
      <w:r>
        <w:rPr>
          <w:rFonts w:hint="eastAsia" w:asciiTheme="minorEastAsia" w:hAnsiTheme="minorEastAsia" w:eastAsiaTheme="minorEastAsia"/>
          <w:color w:val="333333"/>
          <w:spacing w:val="8"/>
          <w:sz w:val="44"/>
          <w:szCs w:val="44"/>
        </w:rPr>
        <w:t>市级</w:t>
      </w:r>
      <w:r>
        <w:rPr>
          <w:rFonts w:asciiTheme="minorEastAsia" w:hAnsiTheme="minorEastAsia" w:eastAsiaTheme="minorEastAsia"/>
          <w:color w:val="333333"/>
          <w:spacing w:val="8"/>
          <w:sz w:val="44"/>
          <w:szCs w:val="44"/>
        </w:rPr>
        <w:t>巾帼文明岗</w:t>
      </w:r>
      <w:r>
        <w:rPr>
          <w:rFonts w:hint="eastAsia" w:asciiTheme="minorEastAsia" w:hAnsiTheme="minorEastAsia" w:eastAsiaTheme="minorEastAsia"/>
          <w:color w:val="333333"/>
          <w:spacing w:val="8"/>
          <w:sz w:val="44"/>
          <w:szCs w:val="44"/>
        </w:rPr>
        <w:t>拟</w:t>
      </w:r>
      <w:r>
        <w:rPr>
          <w:rFonts w:asciiTheme="minorEastAsia" w:hAnsiTheme="minorEastAsia" w:eastAsiaTheme="minorEastAsia"/>
          <w:color w:val="333333"/>
          <w:spacing w:val="8"/>
          <w:sz w:val="44"/>
          <w:szCs w:val="44"/>
        </w:rPr>
        <w:t>推荐名单</w:t>
      </w:r>
    </w:p>
    <w:bookmarkEnd w:id="0"/>
    <w:tbl>
      <w:tblPr>
        <w:tblStyle w:val="4"/>
        <w:tblW w:w="90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越城区图书馆少儿部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越城区档案馆文档中心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越城区灵芝街道社区卫生服务中心输液室护理组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越城区睿和培训学校（天才宝贝）教研部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柯桥区江滨水处理有限公司综合部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柯桥区稽东镇中心幼儿园春之语青年教师成长工作室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柯桥区中国轻纺城中心幼儿园张国娟幽兰名师工作室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柯桥区平水镇便民服务中心（柯桥区行政服务中心平水分中心）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柯桥区六一幼儿园“最美苜蓿”团队组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柯桥区漓渚镇中心幼儿园“青兰”工作室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会稽山绍兴酒股份有限公司灌装生产部五车间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中广（绍兴柯桥）有线信息网络有限公司市场运营部呼叫中心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绍兴第二医院妇科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柯桥区中医医院内科三病区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绍兴市中心医院呼吸内科护理组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柯桥区柯桥街道颐养园养老服务岗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中国工商银行绍兴东升支行营业点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浙江塔牌绍兴酒有限公司技术中心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上虞人民医院综合病区护理组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上虞中医医院门诊综合服务中心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上虞区婚姻登记处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绍兴逸图文化传播有限公司素心茶室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浙江上三高速公路蒿坝收费中心所收费四班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浙江上百集团有限公司万和城购物中心儿童馆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上虞区市场监管局崧厦市场监管分局商事登记窗口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上虞区东关街道社区卫生服务中心护理组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上虞区崧厦街道中心幼儿园（新园）中班组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浙江华维外国语学校心理健康中心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上虞区正裕幼稚园中班组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上虞区章镇镇中心幼儿园教师组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诸暨市荣怀鼓山幼儿园教师组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绍兴安亭高速公路有限公司安亭管理处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浙江诸暨农村商业银行股份有限公司国际业务部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诸暨市浣纱幼教集团滨江幼儿园语言教研组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诸暨市伊创信息咨询有限公司越溪学堂家政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培训部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诸暨万风新天地购物中心总服务台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诸暨市浣东街道和济幼儿园未来站工作室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诸暨市开放双语实验学校英语教研组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中国工商银行股份有限公司诸暨城西支行现金柜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诸暨市欢乐之家休养院护理部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浙江绍兴嵊新高速公路有限公司黄泽收费站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嵊州市剡溪小学科学组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嵊州市三界镇中心幼儿园语言教研组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嵊州市三界镇中心小学语文教研组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嵊州市开发区幼儿园向美教师团队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浙大一院嵊州分院手术室护理组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浙大一院嵊州分院输液厅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嵊州市中医院急诊护理单元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嵊州市黄泽镇便民服务中心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新昌县中医院针灸科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工商银行新昌城东支行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绍兴市新闻传媒中心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《941晚班车·下班嘚啵嘚》节目组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浙江省绍兴市人民检察院第六检察部（原社会治理检察部）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绍兴科技馆展览教育部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绍兴市能源检测院办公室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绍兴市食品药品检验研究院食品检验所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绍兴市人民医院放射科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绍兴市妇幼保健分娩室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绍兴市妇幼保健院妇一科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绍兴市第七人民医院精神五病区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绍兴市第七人民医院神经内科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绍兴市第一中学英语学科组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E5A19"/>
    <w:rsid w:val="519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2021-02-02T09:00:00Z</dcterms:created>
  <dc:creator>Administrator</dc:creator>
  <cp:lastModifiedBy>Administrator</cp:lastModifiedBy>
  <dcterms:modified xsi:type="dcterms:W3CDTF">2021-02-02T09:01:19Z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